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38" w:rsidRPr="00CA4638" w:rsidRDefault="00CA4638" w:rsidP="00CA4638">
      <w:pPr>
        <w:shd w:val="clear" w:color="auto" w:fill="CDCDCD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CA4638">
        <w:rPr>
          <w:rFonts w:ascii="Segoe UI" w:eastAsia="Times New Roman" w:hAnsi="Segoe UI" w:cs="Segoe UI"/>
          <w:b/>
          <w:bCs/>
          <w:color w:val="FF0000"/>
          <w:sz w:val="23"/>
          <w:szCs w:val="23"/>
          <w:lang w:eastAsia="pt-BR"/>
        </w:rPr>
        <w:t>EI MUNICIPAL Nº 3.333, DE 22/05/2018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 w:type="textWrapping" w:clear="all"/>
      </w:r>
      <w:r w:rsidRPr="00CA4638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DISPÕE SOBRE O AUXÍLIO TRANSPORTE PARA OS ALUNOS DO ENSINO TÉCNICO (MÉDIO E SUPERIOR) E DE GRADUAÇÃO DE NÍVEL SUPERIOR E DÁ OUTRAS PROVIDÊNCIAS.</w:t>
      </w:r>
    </w:p>
    <w:p w:rsidR="00CA4638" w:rsidRPr="00CA4638" w:rsidRDefault="00CA4638" w:rsidP="00CA4638">
      <w:pPr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</w:pPr>
      <w:r w:rsidRPr="00CA4638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t>VOLMAR HELMUT KUHN, Prefeito Municipal de Tapera, Estado do Rio Grande do Sul, usando das atribuições que lhe são conferidas por Lei, faz saber que a Câmara Municipal APROVOU e ele SANCIONA e PROMULGA a seguinte lei:</w:t>
      </w:r>
    </w:p>
    <w:p w:rsidR="00CA4638" w:rsidRPr="00CA4638" w:rsidRDefault="00CA4638" w:rsidP="00CA4638">
      <w:pPr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0" w:name="a1"/>
      <w:bookmarkEnd w:id="0"/>
      <w:r w:rsidRPr="00CA4638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1º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Fica instituído o Auxílio Transporte para os alunos do Ensino Técnico (médio e superior) e de Graduação de Nível Superior no âmbito do Município de Tapera/RS.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CA4638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§ 1º 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O Auxílio constitui no pagamento de benefício, não reembolsável, para o custeio parcial de despesas com transporte.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CA4638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§ 2º 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 xml:space="preserve">O Auxílio Transporte é destinado aos estudantes de Ensino Técnico (médio e superior) e de Graduação de Nível Superior, que estejam matriculados e </w:t>
      </w:r>
      <w:proofErr w:type="spellStart"/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frequentando</w:t>
      </w:r>
      <w:proofErr w:type="spellEnd"/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 xml:space="preserve"> estabelecimentos de ensino sediados em outros Municípios, em cursos não ofertados presencialmente no Município de Tapera, pago diretamente ao beneficiário, segundo os requisitos e critérios previstos nesta Lei.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CA4638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§ 3º 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Os cursos devem ser autorizados ou reconhecidos pelo órgão competente.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CA4638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§ 4º 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O auxílio fica limitado a 01 (uma) concessão por estudante para curso de Ensino Técnico (médio e superior) e de Graduação de Nível Superior, não concomitantes, limitadas ao tempo regular de duração de cada curso.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1" w:name="a2"/>
      <w:bookmarkEnd w:id="1"/>
      <w:r w:rsidRPr="00CA4638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2º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O estudante receberá o Auxílio Transporte no valor de R$ 40,00 (quarenta reais), por parcela/mês.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CA4638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§ 1º 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O valor do Auxílio Transporte poderá ser reajustado anualmente, por Decreto, a ser expedido no mês de fevereiro de cada ano, com base na variação acumulada no período de janeiro a dezembro do ano anterior, do Índice Nacional de Preços ao Consumidor Amplo - IPCA, divulgado pelo IBGE - Instituto Brasileiro de Geografia e Estatística e, em caso de extinção, por índice equivalente ou que vier a substituí-lo.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CA4638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§ 2º 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O Auxílio Transporte será concedido em 10 (dez) parcelas mensais e sucessivas, por ano, entre os meses de fevereiro a novembro, podendo ainda ser pago proporcionalmente, a contar do deferimento do pedido.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2" w:name="a3"/>
      <w:bookmarkEnd w:id="2"/>
      <w:r w:rsidRPr="00CA4638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3º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Para se inscrever no Auxílio Transporte o estudante deverá protocolar requerimento junto ao Setor de Protocolo, direcionado à Secretaria de Educação, Cultura e Desporto, acompanhado dos seguintes documentos: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CA4638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 -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 xml:space="preserve"> comprovante de que está ingressando ou que se encontra com matricula </w:t>
      </w:r>
      <w:proofErr w:type="gramStart"/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ativa</w:t>
      </w:r>
      <w:proofErr w:type="gramEnd"/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 xml:space="preserve"> em curso do Ensino Técnico (médio ou superior) ou de graduação de Nível Superior, fazendo prova de sua regularidade;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CA4638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II -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 xml:space="preserve"> cópia do contrato de prestação de serviços de transporte com empresa de fretamento ou transporte de estudantes, podendo ser o contrato de prestação de serviços da Associação de estudantes a qual está vinculada, devendo neste caso fazer prova da vinculação à respectiva associação; ou declaração firmada pelo 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lastRenderedPageBreak/>
        <w:t>requerente que fará uso de transporte coletivo regular intermunicipal de passageiros, comprovando os itinerários e horários a serem utilizados, referentes ao trajeto entre o Município de Tapera e o Município em que está localizada a instituição de ensino;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CA4638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III -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comprovante de que reside no Município de Tapera;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CA4638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IV -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cópia autenticada da Carteira de Identidade e do comprovante de Cadastro de Pessoas Físicas - CPF, podendo ser feita a autenticação por Servidor Municipal;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CA4638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V -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Informação de dados bancários, como instituição financeira (código do Banco), número de conta bancária de titularidade do beneficiário e tipo de conta;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CA4638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§ 1º 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O Auxílio Transporte não poderá ser pago de forma retroativa.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CA4638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§ 2º 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O Poder Executivo poderá estabelecer prazos específicos para os períodos de inscrição no programa.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CA4638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§ 3º 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Os pedidos serão analisados dentro do prazo de 30 (trinta) dias, a contar da data do protocolo.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CA4638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§ 4º 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Inexistindo qualquer espécie de transporte coletivo regular ou empresa de fretamento de transporte de estudantes que promova o transporte entre o Município de Tapera e o município em que está localizada a instituição de ensino, o estudante emitirá documento de próprio punho em que ateste tal situação, sob as penas da Lei, para fazer jus ao auxílio.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3" w:name="a4"/>
      <w:bookmarkEnd w:id="3"/>
      <w:r w:rsidRPr="00CA4638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4º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Comissão constituída por representantes da Secretaria de Educação, Cultura e Desporto deliberará sobre o atendimento aos requisitos legais, emitindo parecer sobre os pedidos, cuja decisão será submetida à apreciação superior.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CA4638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Parágrafo único.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 xml:space="preserve"> A Comissão será composta de </w:t>
      </w:r>
      <w:proofErr w:type="gramStart"/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3</w:t>
      </w:r>
      <w:proofErr w:type="gramEnd"/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 xml:space="preserve"> (três) servidores, indicados pela Secretaria e designados pelo Chefe do Poder Executivo.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4" w:name="a5"/>
      <w:bookmarkEnd w:id="4"/>
      <w:r w:rsidRPr="00CA4638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5º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O estudante beneficiado pelo Auxílio Transporte deverá comprovar semestralmente: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CA4638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 -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 xml:space="preserve"> matrícula e </w:t>
      </w:r>
      <w:proofErr w:type="spellStart"/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frequência</w:t>
      </w:r>
      <w:proofErr w:type="spellEnd"/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 xml:space="preserve"> na instituição de ensino;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CA4638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II -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Aprovação em pelo menos 75% (setenta e cinco por cento) das disciplinas cursadas no semestre anterior;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CA4638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III -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moradia no Município de Tapera;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CA4638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IV -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 xml:space="preserve"> contratação de empresa de fretamento de transporte de estudantes, podendo ser o contrato de prestação de serviços da Associação de estudantes a qual está vinculada, devendo neste caso fazer prova da vinculação; ou de empresa de transporte coletivo intermunicipal regular ou, ainda, apresentar a declaração de </w:t>
      </w:r>
      <w:proofErr w:type="gramStart"/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próprio</w:t>
      </w:r>
      <w:proofErr w:type="gramEnd"/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 xml:space="preserve"> punho da inexistência de transporte regular.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CA4638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Parágrafo único.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O não cumprimento do disposto no "caput" deste artigo acarretará na suspensão imediata do benefício até a regularização da pendência.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5" w:name="a6"/>
      <w:bookmarkEnd w:id="5"/>
      <w:r w:rsidRPr="00CA4638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6º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O beneficiário que tiver sua situação alterada ou não fazer mais jus ao beneficio, deverá comunicar imediatamente a Secretaria de Educação, Cultura e Desporto.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CA4638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§ 1º 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 xml:space="preserve">A Secretaria de Educação, Cultura e Desporto tomando conhecimento de irregularidade na concessão ou uso do auxilio poderá promover a suspensão do 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lastRenderedPageBreak/>
        <w:t>beneficio até a sua regularização, e o encaminhamento do fato ao Departamento Jurídico, afim de providências quanto a eventual devolução de valores.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CA4638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§ 2º 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Não havendo regularização ou sendo apurada irregularidade insanável na concessão do beneficio, o mesmo será cassado e o beneficiário ficará 12 (doze) meses sem direito a receber o auxilio.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6" w:name="a7"/>
      <w:bookmarkEnd w:id="6"/>
      <w:r w:rsidRPr="00CA4638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7º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O Poder Executivo Municipal expedirá as instruções, normas e regulamentos necessários à execução desta Lei.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7" w:name="a8"/>
      <w:bookmarkEnd w:id="7"/>
      <w:r w:rsidRPr="00CA4638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8º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As despesas criadas por esta Lei correrão à conta de dotações orçamentárias específicas consignadas junto ao orçamento da Secretaria de Educação, Cultura e Desporto.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CA4638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Parágrafo único.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A concessão do auxílio previsto nesta Lei depende da disponibilidade dos recursos orçamentários e financeiros.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8" w:name="a9"/>
      <w:bookmarkEnd w:id="8"/>
      <w:r w:rsidRPr="00CA4638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9º</w:t>
      </w:r>
      <w:r w:rsidRPr="00CA463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Esta Lei entrará em vigor na data de sua publicação.</w:t>
      </w:r>
    </w:p>
    <w:p w:rsidR="00CA4638" w:rsidRPr="00CA4638" w:rsidRDefault="00CA4638" w:rsidP="00CA4638">
      <w:pPr>
        <w:spacing w:after="0" w:line="240" w:lineRule="auto"/>
        <w:jc w:val="right"/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</w:pPr>
      <w:r w:rsidRPr="00CA4638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t>Gabinete do Prefeito, 22 de maio de 2018.</w:t>
      </w:r>
      <w:r w:rsidRPr="00CA4638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</w:r>
      <w:r w:rsidRPr="00CA4638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  <w:t>VOLMAR HELMUT KUHN</w:t>
      </w:r>
      <w:r w:rsidRPr="00CA4638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  <w:t>Prefeito Municipal</w:t>
      </w:r>
    </w:p>
    <w:p w:rsidR="00CA4638" w:rsidRPr="00CA4638" w:rsidRDefault="00CA4638" w:rsidP="00CA4638">
      <w:pPr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</w:p>
    <w:p w:rsidR="00CA4638" w:rsidRPr="00CA4638" w:rsidRDefault="00CA4638" w:rsidP="00CA4638">
      <w:pPr>
        <w:spacing w:after="120" w:line="240" w:lineRule="auto"/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</w:pPr>
      <w:r w:rsidRPr="00CA4638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t>Registre-se e Publique-se;</w:t>
      </w:r>
      <w:r w:rsidRPr="00CA4638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</w:r>
      <w:r w:rsidRPr="00CA4638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</w:r>
      <w:proofErr w:type="spellStart"/>
      <w:r w:rsidRPr="00CA4638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t>Stéfano</w:t>
      </w:r>
      <w:proofErr w:type="spellEnd"/>
      <w:r w:rsidRPr="00CA4638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t xml:space="preserve"> Simon</w:t>
      </w:r>
      <w:r w:rsidRPr="00CA4638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  <w:t>Secretário da Administração</w:t>
      </w:r>
    </w:p>
    <w:p w:rsidR="0033517F" w:rsidRDefault="0033517F"/>
    <w:sectPr w:rsidR="0033517F" w:rsidSect="003351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638"/>
    <w:rsid w:val="000273B8"/>
    <w:rsid w:val="0003462E"/>
    <w:rsid w:val="000559BD"/>
    <w:rsid w:val="00057FFE"/>
    <w:rsid w:val="00060AFA"/>
    <w:rsid w:val="0010477A"/>
    <w:rsid w:val="00114D2C"/>
    <w:rsid w:val="00115A73"/>
    <w:rsid w:val="00127654"/>
    <w:rsid w:val="001358F0"/>
    <w:rsid w:val="00143070"/>
    <w:rsid w:val="00154276"/>
    <w:rsid w:val="0015444E"/>
    <w:rsid w:val="00172625"/>
    <w:rsid w:val="00177483"/>
    <w:rsid w:val="00182B0F"/>
    <w:rsid w:val="001C2160"/>
    <w:rsid w:val="001D5B56"/>
    <w:rsid w:val="001E7563"/>
    <w:rsid w:val="001F200E"/>
    <w:rsid w:val="00200810"/>
    <w:rsid w:val="002114C7"/>
    <w:rsid w:val="00216671"/>
    <w:rsid w:val="00225DE5"/>
    <w:rsid w:val="0022768F"/>
    <w:rsid w:val="00262C74"/>
    <w:rsid w:val="002D584D"/>
    <w:rsid w:val="002D70BE"/>
    <w:rsid w:val="002E02FC"/>
    <w:rsid w:val="002E10F6"/>
    <w:rsid w:val="002E1FD0"/>
    <w:rsid w:val="002F5F4D"/>
    <w:rsid w:val="003046BA"/>
    <w:rsid w:val="0033517F"/>
    <w:rsid w:val="0034300A"/>
    <w:rsid w:val="00343078"/>
    <w:rsid w:val="0035282E"/>
    <w:rsid w:val="00376E92"/>
    <w:rsid w:val="00376FE4"/>
    <w:rsid w:val="0038146C"/>
    <w:rsid w:val="003814D7"/>
    <w:rsid w:val="00400AE9"/>
    <w:rsid w:val="00400C89"/>
    <w:rsid w:val="004078EA"/>
    <w:rsid w:val="00426592"/>
    <w:rsid w:val="0042663D"/>
    <w:rsid w:val="00434018"/>
    <w:rsid w:val="004A613C"/>
    <w:rsid w:val="004B4DB3"/>
    <w:rsid w:val="004D6A53"/>
    <w:rsid w:val="00500635"/>
    <w:rsid w:val="00504C1A"/>
    <w:rsid w:val="00507197"/>
    <w:rsid w:val="00521EA1"/>
    <w:rsid w:val="0052262C"/>
    <w:rsid w:val="00547792"/>
    <w:rsid w:val="00582268"/>
    <w:rsid w:val="005A269F"/>
    <w:rsid w:val="005E1CE7"/>
    <w:rsid w:val="0063232F"/>
    <w:rsid w:val="00680268"/>
    <w:rsid w:val="006901D9"/>
    <w:rsid w:val="006B0A4F"/>
    <w:rsid w:val="006C2231"/>
    <w:rsid w:val="006F10C5"/>
    <w:rsid w:val="006F2CBE"/>
    <w:rsid w:val="007053D2"/>
    <w:rsid w:val="007345C3"/>
    <w:rsid w:val="00754CD9"/>
    <w:rsid w:val="00773242"/>
    <w:rsid w:val="00796398"/>
    <w:rsid w:val="007A5941"/>
    <w:rsid w:val="007A7B7E"/>
    <w:rsid w:val="007B774A"/>
    <w:rsid w:val="007D1FE1"/>
    <w:rsid w:val="007D6F8C"/>
    <w:rsid w:val="007D7201"/>
    <w:rsid w:val="008021FB"/>
    <w:rsid w:val="008069AC"/>
    <w:rsid w:val="008126D5"/>
    <w:rsid w:val="00833760"/>
    <w:rsid w:val="008717F5"/>
    <w:rsid w:val="00876D23"/>
    <w:rsid w:val="008831B2"/>
    <w:rsid w:val="008903FA"/>
    <w:rsid w:val="008C2E6B"/>
    <w:rsid w:val="008F31AA"/>
    <w:rsid w:val="00913545"/>
    <w:rsid w:val="00925D25"/>
    <w:rsid w:val="009947EE"/>
    <w:rsid w:val="009A2F1C"/>
    <w:rsid w:val="009C2D17"/>
    <w:rsid w:val="009C563B"/>
    <w:rsid w:val="009D1514"/>
    <w:rsid w:val="009F418D"/>
    <w:rsid w:val="00A31A41"/>
    <w:rsid w:val="00A53ADB"/>
    <w:rsid w:val="00A80219"/>
    <w:rsid w:val="00A80D9E"/>
    <w:rsid w:val="00A82815"/>
    <w:rsid w:val="00A9508A"/>
    <w:rsid w:val="00AA4A0A"/>
    <w:rsid w:val="00AB2686"/>
    <w:rsid w:val="00AC0570"/>
    <w:rsid w:val="00AD0098"/>
    <w:rsid w:val="00AD43A6"/>
    <w:rsid w:val="00B14EBA"/>
    <w:rsid w:val="00B35325"/>
    <w:rsid w:val="00B4022D"/>
    <w:rsid w:val="00B6047F"/>
    <w:rsid w:val="00B710FB"/>
    <w:rsid w:val="00B77768"/>
    <w:rsid w:val="00BE3B54"/>
    <w:rsid w:val="00BF6184"/>
    <w:rsid w:val="00C0367C"/>
    <w:rsid w:val="00C07156"/>
    <w:rsid w:val="00C22775"/>
    <w:rsid w:val="00C2492D"/>
    <w:rsid w:val="00C440E8"/>
    <w:rsid w:val="00C52404"/>
    <w:rsid w:val="00C87258"/>
    <w:rsid w:val="00CA4638"/>
    <w:rsid w:val="00CE521B"/>
    <w:rsid w:val="00D0006E"/>
    <w:rsid w:val="00D4078E"/>
    <w:rsid w:val="00D410D0"/>
    <w:rsid w:val="00D821D0"/>
    <w:rsid w:val="00D83F0F"/>
    <w:rsid w:val="00D93134"/>
    <w:rsid w:val="00DA3ECD"/>
    <w:rsid w:val="00DA5D82"/>
    <w:rsid w:val="00DB7628"/>
    <w:rsid w:val="00E11F01"/>
    <w:rsid w:val="00E17E4C"/>
    <w:rsid w:val="00E2672A"/>
    <w:rsid w:val="00E407B7"/>
    <w:rsid w:val="00E46655"/>
    <w:rsid w:val="00E47CCF"/>
    <w:rsid w:val="00E72928"/>
    <w:rsid w:val="00E83485"/>
    <w:rsid w:val="00EC64D1"/>
    <w:rsid w:val="00ED3B2C"/>
    <w:rsid w:val="00EE526C"/>
    <w:rsid w:val="00EF2BAD"/>
    <w:rsid w:val="00F14470"/>
    <w:rsid w:val="00F31914"/>
    <w:rsid w:val="00F45A19"/>
    <w:rsid w:val="00F52B7E"/>
    <w:rsid w:val="00F56719"/>
    <w:rsid w:val="00F830C8"/>
    <w:rsid w:val="00F9469E"/>
    <w:rsid w:val="00FA52E3"/>
    <w:rsid w:val="00FE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371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73667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2112">
                  <w:marLeft w:val="45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8103">
                  <w:marLeft w:val="450"/>
                  <w:marRight w:val="450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1</dc:creator>
  <cp:lastModifiedBy>Prefeitura 1</cp:lastModifiedBy>
  <cp:revision>2</cp:revision>
  <dcterms:created xsi:type="dcterms:W3CDTF">2020-03-05T17:04:00Z</dcterms:created>
  <dcterms:modified xsi:type="dcterms:W3CDTF">2020-03-05T17:04:00Z</dcterms:modified>
</cp:coreProperties>
</file>